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44677">
      <w:pPr>
        <w:pStyle w:val="2"/>
        <w:widowControl/>
        <w:shd w:val="clear" w:color="auto" w:fill="F9FAFB"/>
        <w:spacing w:beforeAutospacing="0" w:after="120" w:afterAutospacing="0" w:line="360" w:lineRule="atLeast"/>
        <w:jc w:val="center"/>
        <w:rPr>
          <w:rFonts w:hint="default" w:ascii="Times New Roman" w:hAnsi="Times New Roman" w:eastAsia="黑体"/>
          <w:kern w:val="2"/>
          <w:sz w:val="30"/>
          <w:szCs w:val="30"/>
        </w:rPr>
      </w:pPr>
      <w:r>
        <w:rPr>
          <w:rFonts w:hint="default" w:ascii="Times New Roman" w:hAnsi="Times New Roman" w:eastAsia="黑体"/>
          <w:kern w:val="2"/>
          <w:sz w:val="30"/>
          <w:szCs w:val="30"/>
        </w:rPr>
        <w:t>《</w:t>
      </w:r>
      <w:r>
        <w:rPr>
          <w:rFonts w:ascii="Times New Roman" w:hAnsi="Times New Roman" w:eastAsia="黑体"/>
          <w:kern w:val="2"/>
          <w:sz w:val="30"/>
          <w:szCs w:val="30"/>
        </w:rPr>
        <w:t>组织工程产品 面部畸形矫治用组织工程软骨人体移植后评估要求</w:t>
      </w:r>
      <w:r>
        <w:rPr>
          <w:rFonts w:hint="default" w:ascii="Times New Roman" w:hAnsi="Times New Roman" w:eastAsia="黑体"/>
          <w:kern w:val="2"/>
          <w:sz w:val="30"/>
          <w:szCs w:val="30"/>
        </w:rPr>
        <w:t>》</w:t>
      </w:r>
    </w:p>
    <w:p w14:paraId="5FAC55BE">
      <w:pPr>
        <w:pStyle w:val="2"/>
        <w:widowControl/>
        <w:shd w:val="clear" w:color="auto" w:fill="F9FAFB"/>
        <w:spacing w:beforeAutospacing="0" w:after="120" w:afterAutospacing="0" w:line="360" w:lineRule="atLeast"/>
        <w:jc w:val="center"/>
        <w:rPr>
          <w:rFonts w:hint="default" w:ascii="Times New Roman" w:hAnsi="Times New Roman" w:eastAsia="黑体"/>
          <w:kern w:val="2"/>
          <w:sz w:val="30"/>
          <w:szCs w:val="30"/>
        </w:rPr>
      </w:pPr>
      <w:r>
        <w:rPr>
          <w:rFonts w:hint="default" w:ascii="Times New Roman" w:hAnsi="Times New Roman" w:eastAsia="黑体"/>
          <w:kern w:val="2"/>
          <w:sz w:val="30"/>
          <w:szCs w:val="30"/>
        </w:rPr>
        <w:t>征求意见稿编制说明</w:t>
      </w:r>
    </w:p>
    <w:p w14:paraId="1B624C93">
      <w:pPr>
        <w:pStyle w:val="3"/>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一、工作简况</w:t>
      </w:r>
    </w:p>
    <w:p w14:paraId="734A70A4">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（一）任务来源</w:t>
      </w:r>
    </w:p>
    <w:p w14:paraId="44B6A7D7">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shd w:val="clear" w:color="auto" w:fill="FFFFFF"/>
          <w:lang w:bidi="ar"/>
        </w:rPr>
        <w:t>随着生物医学技术的快速发展，组织工程软骨在面部畸形矫治领域的应用日益广泛。组织工程软骨作为一种新型的生物材料，具有良好的生物相容性和组织再生能力，为面部畸形患者提供了新的治疗选择。然而，目前对于组织工程软骨人体移植后的评估尚缺乏统一的标准和规范，这给临床应用和质量控制带来了挑战。因此，制定一份专门针对组织工程软骨人体移植后评估的团体标准显得尤为重要。因此，</w:t>
      </w:r>
      <w:r>
        <w:rPr>
          <w:rFonts w:ascii="宋体" w:hAnsi="宋体" w:eastAsia="宋体" w:cs="宋体"/>
          <w:kern w:val="0"/>
          <w:sz w:val="21"/>
          <w:szCs w:val="21"/>
          <w:shd w:val="clear" w:color="auto" w:fill="FFFFFF"/>
          <w:lang w:bidi="ar"/>
        </w:rPr>
        <w:t>依据《中国药典》《细胞治疗产品生产质量管理指南》及相关行业规范，提出《</w:t>
      </w:r>
      <w:r>
        <w:rPr>
          <w:rFonts w:hint="eastAsia" w:ascii="宋体" w:hAnsi="宋体" w:eastAsia="宋体" w:cs="宋体"/>
          <w:kern w:val="0"/>
          <w:sz w:val="21"/>
          <w:szCs w:val="21"/>
          <w:shd w:val="clear" w:color="auto" w:fill="FFFFFF"/>
          <w:lang w:bidi="ar"/>
        </w:rPr>
        <w:t>组织工程产品 面部畸形矫治用组织工程软骨人体移植后评估要求</w:t>
      </w:r>
      <w:r>
        <w:rPr>
          <w:rFonts w:ascii="宋体" w:hAnsi="宋体" w:eastAsia="宋体" w:cs="宋体"/>
          <w:kern w:val="0"/>
          <w:sz w:val="21"/>
          <w:szCs w:val="21"/>
          <w:shd w:val="clear" w:color="auto" w:fill="FFFFFF"/>
          <w:lang w:bidi="ar"/>
        </w:rPr>
        <w:t>》团体标准立项申请</w:t>
      </w:r>
      <w:r>
        <w:rPr>
          <w:rFonts w:hint="eastAsia" w:ascii="宋体" w:hAnsi="宋体" w:eastAsia="宋体" w:cs="宋体"/>
          <w:kern w:val="0"/>
          <w:sz w:val="21"/>
          <w:szCs w:val="21"/>
          <w:shd w:val="clear" w:color="auto" w:fill="FFFFFF"/>
          <w:lang w:bidi="ar"/>
        </w:rPr>
        <w:t>。经</w:t>
      </w:r>
      <w:r>
        <w:rPr>
          <w:rFonts w:hint="eastAsia" w:ascii="宋体" w:hAnsi="宋体" w:eastAsia="宋体" w:cs="宋体"/>
          <w:sz w:val="21"/>
          <w:szCs w:val="21"/>
        </w:rPr>
        <w:t>中国食品药品企业质量安全促进会</w:t>
      </w:r>
      <w:r>
        <w:rPr>
          <w:rFonts w:hint="eastAsia" w:ascii="宋体" w:hAnsi="宋体" w:eastAsia="宋体" w:cs="宋体"/>
          <w:kern w:val="0"/>
          <w:sz w:val="21"/>
          <w:szCs w:val="21"/>
          <w:shd w:val="clear" w:color="auto" w:fill="FFFFFF"/>
          <w:lang w:bidi="ar"/>
        </w:rPr>
        <w:t>组织专家审议后批准立项。</w:t>
      </w:r>
    </w:p>
    <w:p w14:paraId="6F2F3BB8">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（二）目的、意义及必要性</w:t>
      </w:r>
    </w:p>
    <w:p w14:paraId="714AA9FF">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（1）立项意义</w:t>
      </w:r>
    </w:p>
    <w:p w14:paraId="586892FF">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保障患者安全：通过制定严格的评估标准，确保组织工程软骨移植后的安全性和有效性，降低不良反应和并发症的发生率，保障患者的健康和安全。</w:t>
      </w:r>
    </w:p>
    <w:p w14:paraId="3EDC281D">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规范临床应用：为医疗机构提供统一的评估方法和指标，规范组织工程软骨的临床应用，提高治疗效果和患者满意度。</w:t>
      </w:r>
    </w:p>
    <w:p w14:paraId="1EFBB475">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促进技术创新：明确评估要求，有助于推动组织工程软骨技术的创新和发展，提高产品质量和性能。</w:t>
      </w:r>
    </w:p>
    <w:p w14:paraId="3946B0C4">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支持监管决策：为监管部门提供科学依据，支持对组织工程软骨产品的监管和审批，确保市场上的产品质量可靠。</w:t>
      </w:r>
    </w:p>
    <w:p w14:paraId="67F814E2">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（2）必要性</w:t>
      </w:r>
    </w:p>
    <w:p w14:paraId="33461F75">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临床需求：面部畸形矫治是整形外科的重要领域，组织工程软骨的应用为患者带来了新的希望。制定评估标准有助于提高治疗效果和患者满意度。</w:t>
      </w:r>
    </w:p>
    <w:p w14:paraId="2431A0ED">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技术发展：组织工程软骨技术不断发展，新的材料和方法不断涌现。制定标准有助于规范技术应用，推动技术创新。</w:t>
      </w:r>
    </w:p>
    <w:p w14:paraId="3EE317BF">
      <w:pPr>
        <w:widowControl/>
        <w:shd w:val="clear" w:color="auto" w:fill="FFFFFF"/>
        <w:spacing w:line="360" w:lineRule="auto"/>
        <w:ind w:firstLine="420" w:firstLineChars="200"/>
        <w:jc w:val="left"/>
        <w:rPr>
          <w:rFonts w:cs="宋体"/>
          <w:b/>
          <w:bCs/>
          <w:sz w:val="21"/>
          <w:szCs w:val="21"/>
          <w:shd w:val="clear" w:color="auto" w:fill="FFFFFF"/>
          <w:lang w:bidi="ar"/>
        </w:rPr>
      </w:pPr>
      <w:r>
        <w:rPr>
          <w:rFonts w:hint="eastAsia" w:ascii="宋体" w:hAnsi="宋体" w:eastAsia="宋体" w:cs="宋体"/>
          <w:kern w:val="0"/>
          <w:sz w:val="21"/>
          <w:szCs w:val="21"/>
          <w:shd w:val="clear" w:color="auto" w:fill="FFFFFF"/>
          <w:lang w:bidi="ar"/>
        </w:rPr>
        <w:t>监管要求：监管部门需要科学、统一的标准来支持对组织工程软骨产品的监管和审批，确保市场上的产品质量可靠。</w:t>
      </w:r>
    </w:p>
    <w:p w14:paraId="78C0EAA1">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（三）团体标准起草单位和主要起草人</w:t>
      </w:r>
    </w:p>
    <w:p w14:paraId="5B6422DD">
      <w:pPr>
        <w:widowControl/>
        <w:shd w:val="clear" w:color="auto" w:fill="FFFFFF"/>
        <w:spacing w:line="360" w:lineRule="auto"/>
        <w:jc w:val="left"/>
        <w:rPr>
          <w:rFonts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立项申请单位：</w:t>
      </w:r>
    </w:p>
    <w:p w14:paraId="45E3A77D">
      <w:pPr>
        <w:widowControl/>
        <w:shd w:val="clear" w:color="auto" w:fill="FFFFFF"/>
        <w:spacing w:line="360" w:lineRule="auto"/>
        <w:jc w:val="left"/>
        <w:rPr>
          <w:rFonts w:hint="eastAsia" w:ascii="宋体" w:hAnsi="宋体" w:eastAsia="宋体" w:cs="宋体"/>
          <w:sz w:val="21"/>
          <w:szCs w:val="21"/>
        </w:rPr>
      </w:pPr>
      <w:r>
        <w:rPr>
          <w:rFonts w:hint="eastAsia" w:ascii="宋体" w:hAnsi="宋体" w:eastAsia="宋体" w:cs="宋体"/>
          <w:sz w:val="21"/>
          <w:szCs w:val="21"/>
        </w:rPr>
        <w:t>本标准牵头起草人</w:t>
      </w:r>
      <w:r>
        <w:rPr>
          <w:rFonts w:hint="eastAsia" w:ascii="宋体" w:hAnsi="宋体" w:eastAsia="宋体" w:cs="宋体"/>
          <w:kern w:val="0"/>
          <w:sz w:val="21"/>
          <w:szCs w:val="21"/>
          <w:shd w:val="clear" w:color="auto" w:fill="FFFFFF"/>
          <w:lang w:bidi="ar"/>
        </w:rPr>
        <w:t>：</w:t>
      </w:r>
    </w:p>
    <w:p w14:paraId="4130236C">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（四）参与单位</w:t>
      </w:r>
    </w:p>
    <w:p w14:paraId="7737A5B0">
      <w:pPr>
        <w:widowControl/>
        <w:shd w:val="clear" w:color="auto" w:fill="FFFFFF"/>
        <w:spacing w:line="360" w:lineRule="auto"/>
        <w:jc w:val="left"/>
        <w:rPr>
          <w:rFonts w:hint="eastAsia" w:ascii="宋体" w:hAnsi="宋体" w:eastAsia="宋体" w:cs="宋体"/>
          <w:kern w:val="0"/>
          <w:sz w:val="24"/>
          <w:shd w:val="clear" w:color="auto" w:fill="FFFFFF"/>
          <w:lang w:bidi="ar"/>
        </w:rPr>
      </w:pPr>
    </w:p>
    <w:p w14:paraId="264CD0EF">
      <w:pPr>
        <w:widowControl/>
        <w:shd w:val="clear" w:color="auto" w:fill="FFFFFF"/>
        <w:spacing w:line="360" w:lineRule="auto"/>
        <w:jc w:val="left"/>
        <w:rPr>
          <w:rFonts w:hint="eastAsia" w:ascii="宋体" w:hAnsi="宋体" w:eastAsia="宋体" w:cs="宋体"/>
          <w:kern w:val="0"/>
          <w:sz w:val="24"/>
          <w:shd w:val="clear" w:color="auto" w:fill="FFFFFF"/>
          <w:lang w:bidi="ar"/>
        </w:rPr>
      </w:pPr>
    </w:p>
    <w:p w14:paraId="5B945408">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（五）主要工作</w:t>
      </w:r>
    </w:p>
    <w:p w14:paraId="5D7A4FE5">
      <w:pPr>
        <w:widowControl/>
        <w:spacing w:line="360" w:lineRule="auto"/>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1.起草阶段</w:t>
      </w:r>
    </w:p>
    <w:p w14:paraId="62959231">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立项后，迅速组建标准制定工作组。根据成员单位专长，设立</w:t>
      </w:r>
      <w:r>
        <w:rPr>
          <w:rFonts w:ascii="宋体" w:hAnsi="宋体" w:eastAsia="宋体" w:cs="宋体"/>
          <w:color w:val="000000"/>
          <w:sz w:val="21"/>
          <w:szCs w:val="21"/>
          <w:shd w:val="clear" w:color="auto" w:fill="FFFFFF"/>
        </w:rPr>
        <w:t>过程控制、质量控制、检测方法、文件追溯</w:t>
      </w:r>
      <w:r>
        <w:rPr>
          <w:rFonts w:hint="eastAsia" w:ascii="宋体" w:hAnsi="宋体" w:eastAsia="宋体" w:cs="宋体"/>
          <w:color w:val="000000"/>
          <w:sz w:val="21"/>
          <w:szCs w:val="21"/>
          <w:shd w:val="clear" w:color="auto" w:fill="FFFFFF"/>
        </w:rPr>
        <w:t>等多个起草小组，明确各小组职责。</w:t>
      </w:r>
    </w:p>
    <w:p w14:paraId="27D05C42">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制定详细的工作计划，规划起草流程的时间节点，包括资料收集、初稿撰写、内部讨论、修改完善、</w:t>
      </w:r>
      <w:r>
        <w:rPr>
          <w:rFonts w:ascii="宋体" w:hAnsi="宋体" w:eastAsia="宋体" w:cs="宋体"/>
          <w:color w:val="000000"/>
          <w:sz w:val="21"/>
          <w:szCs w:val="21"/>
          <w:shd w:val="clear" w:color="auto" w:fill="FFFFFF"/>
        </w:rPr>
        <w:t>专家审评、征求意见</w:t>
      </w:r>
      <w:r>
        <w:rPr>
          <w:rFonts w:hint="eastAsia" w:ascii="宋体" w:hAnsi="宋体" w:eastAsia="宋体" w:cs="宋体"/>
          <w:color w:val="000000"/>
          <w:sz w:val="21"/>
          <w:szCs w:val="21"/>
          <w:shd w:val="clear" w:color="auto" w:fill="FFFFFF"/>
        </w:rPr>
        <w:t>等关键环节的具体时间安排。</w:t>
      </w:r>
    </w:p>
    <w:p w14:paraId="381A8AFD">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各起草小组广泛收集国内外相关文献、</w:t>
      </w:r>
      <w:r>
        <w:rPr>
          <w:rFonts w:ascii="宋体" w:hAnsi="宋体" w:eastAsia="宋体" w:cs="宋体"/>
          <w:color w:val="000000"/>
          <w:sz w:val="21"/>
          <w:szCs w:val="21"/>
          <w:shd w:val="clear" w:color="auto" w:fill="FFFFFF"/>
        </w:rPr>
        <w:t>多中心验证数据</w:t>
      </w:r>
      <w:r>
        <w:rPr>
          <w:rFonts w:hint="eastAsia" w:ascii="宋体" w:hAnsi="宋体" w:eastAsia="宋体" w:cs="宋体"/>
          <w:color w:val="000000"/>
          <w:sz w:val="21"/>
          <w:szCs w:val="21"/>
          <w:shd w:val="clear" w:color="auto" w:fill="FFFFFF"/>
        </w:rPr>
        <w:t>、行业专家意见等资料，重点参考</w:t>
      </w:r>
      <w:r>
        <w:rPr>
          <w:rFonts w:ascii="宋体" w:hAnsi="宋体" w:eastAsia="宋体" w:cs="宋体"/>
          <w:color w:val="000000"/>
          <w:sz w:val="21"/>
          <w:szCs w:val="21"/>
          <w:shd w:val="clear" w:color="auto" w:fill="FFFFFF"/>
        </w:rPr>
        <w:t>《细胞治疗产品生产质量管理指南》</w:t>
      </w:r>
      <w:r>
        <w:rPr>
          <w:rFonts w:hint="eastAsia" w:ascii="宋体" w:hAnsi="宋体" w:eastAsia="宋体" w:cs="宋体"/>
          <w:color w:val="000000"/>
          <w:sz w:val="21"/>
          <w:szCs w:val="21"/>
          <w:shd w:val="clear" w:color="auto" w:fill="FFFFFF"/>
        </w:rPr>
        <w:t>等参考文献。基于这些资料，结合自身经验，起草各自负责部分的内容，形成标准初稿。</w:t>
      </w:r>
    </w:p>
    <w:p w14:paraId="4695B8AE">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组织多次内部研讨会，对初稿进行深入讨论和修改。邀请行业权威专家对修改后的稿件进行评审，根据专家意见再次完善，形成标准征求意见稿。</w:t>
      </w:r>
    </w:p>
    <w:p w14:paraId="7CA736AE">
      <w:pPr>
        <w:widowControl/>
        <w:numPr>
          <w:ilvl w:val="0"/>
          <w:numId w:val="1"/>
        </w:numPr>
        <w:spacing w:line="360" w:lineRule="auto"/>
        <w:rPr>
          <w:rFonts w:hint="eastAsia" w:ascii="宋体" w:hAnsi="宋体" w:eastAsia="宋体" w:cs="宋体"/>
          <w:color w:val="000000"/>
          <w:sz w:val="21"/>
          <w:szCs w:val="21"/>
          <w:shd w:val="clear" w:color="auto" w:fill="FFFFFF"/>
        </w:rPr>
      </w:pPr>
      <w:r>
        <w:rPr>
          <w:rStyle w:val="9"/>
          <w:rFonts w:hint="eastAsia" w:ascii="宋体" w:hAnsi="宋体" w:eastAsia="宋体" w:cs="宋体"/>
          <w:b w:val="0"/>
          <w:color w:val="000000"/>
          <w:sz w:val="21"/>
          <w:szCs w:val="21"/>
          <w:shd w:val="clear" w:color="auto" w:fill="FFFFFF"/>
        </w:rPr>
        <w:t>征求意见阶段</w:t>
      </w:r>
      <w:r>
        <w:rPr>
          <w:rFonts w:hint="eastAsia" w:ascii="宋体" w:hAnsi="宋体" w:eastAsia="宋体" w:cs="宋体"/>
          <w:color w:val="000000"/>
          <w:sz w:val="21"/>
          <w:szCs w:val="21"/>
          <w:shd w:val="clear" w:color="auto" w:fill="FFFFFF"/>
        </w:rPr>
        <w:t>：</w:t>
      </w:r>
    </w:p>
    <w:p w14:paraId="7C08EB92">
      <w:pPr>
        <w:widowControl/>
        <w:spacing w:line="360" w:lineRule="auto"/>
        <w:ind w:firstLine="420" w:firstLineChars="200"/>
        <w:rPr>
          <w:rFonts w:hint="eastAsia" w:ascii="宋体" w:hAnsi="宋体" w:eastAsia="宋体" w:cs="宋体"/>
          <w:sz w:val="21"/>
          <w:szCs w:val="21"/>
        </w:rPr>
      </w:pPr>
      <w:r>
        <w:rPr>
          <w:rFonts w:hint="eastAsia" w:ascii="宋体" w:hAnsi="宋体" w:eastAsia="宋体" w:cs="宋体"/>
          <w:color w:val="000000"/>
          <w:sz w:val="21"/>
          <w:szCs w:val="21"/>
          <w:shd w:val="clear" w:color="auto" w:fill="FFFFFF"/>
        </w:rPr>
        <w:t>通过多种渠道向行业内</w:t>
      </w:r>
      <w:r>
        <w:rPr>
          <w:rFonts w:ascii="宋体" w:hAnsi="宋体" w:eastAsia="宋体" w:cs="宋体"/>
          <w:color w:val="000000"/>
          <w:sz w:val="21"/>
          <w:szCs w:val="21"/>
          <w:shd w:val="clear" w:color="auto" w:fill="FFFFFF"/>
        </w:rPr>
        <w:t>医疗机构、科研单位、企业</w:t>
      </w:r>
      <w:r>
        <w:rPr>
          <w:rFonts w:hint="eastAsia" w:ascii="宋体" w:hAnsi="宋体" w:eastAsia="宋体" w:cs="宋体"/>
          <w:color w:val="000000"/>
          <w:sz w:val="21"/>
          <w:szCs w:val="21"/>
          <w:shd w:val="clear" w:color="auto" w:fill="FFFFFF"/>
        </w:rPr>
        <w:t>等广泛征求意见，确保标准的科学性、实用性和可操作性。</w:t>
      </w:r>
    </w:p>
    <w:p w14:paraId="77ED7043">
      <w:pPr>
        <w:pStyle w:val="3"/>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二、标准编制原则和确定标准主要内容的依据</w:t>
      </w:r>
    </w:p>
    <w:p w14:paraId="5C49BB4E">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（一）标准编制原则</w:t>
      </w:r>
    </w:p>
    <w:p w14:paraId="6402573A">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1.科学性原则</w:t>
      </w:r>
      <w:r>
        <w:rPr>
          <w:rFonts w:hint="eastAsia" w:ascii="宋体" w:hAnsi="宋体" w:eastAsia="宋体" w:cs="宋体"/>
          <w:color w:val="000000"/>
          <w:sz w:val="21"/>
          <w:szCs w:val="21"/>
          <w:shd w:val="clear" w:color="auto" w:fill="FFFFFF"/>
        </w:rPr>
        <w:t>：以 YY/T 1810-2022、YY/T 1562-2017、ISO 13019:2018 及多中心文献数据为基础，确保过程节点与阈值科学合理。</w:t>
      </w:r>
    </w:p>
    <w:p w14:paraId="72713FA5">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2.实用性原则</w:t>
      </w:r>
      <w:r>
        <w:rPr>
          <w:rFonts w:hint="eastAsia" w:ascii="宋体" w:hAnsi="宋体" w:eastAsia="宋体" w:cs="宋体"/>
          <w:color w:val="000000"/>
          <w:sz w:val="21"/>
          <w:szCs w:val="21"/>
          <w:shd w:val="clear" w:color="auto" w:fill="FFFFFF"/>
        </w:rPr>
        <w:t>：参数直接对应现有试剂和设备，无需新增硬件即可实施。</w:t>
      </w:r>
    </w:p>
    <w:p w14:paraId="3685AD43">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3.规范性原则</w:t>
      </w:r>
      <w:r>
        <w:rPr>
          <w:rFonts w:hint="eastAsia" w:ascii="宋体" w:hAnsi="宋体" w:eastAsia="宋体" w:cs="宋体"/>
          <w:color w:val="000000"/>
          <w:sz w:val="21"/>
          <w:szCs w:val="21"/>
          <w:shd w:val="clear" w:color="auto" w:fill="FFFFFF"/>
        </w:rPr>
        <w:t>：严格遵循相关标准规范进行编写，保证标准的格式统一、内容规范。</w:t>
      </w:r>
    </w:p>
    <w:p w14:paraId="7A8074D1">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4.协调性原则</w:t>
      </w:r>
      <w:r>
        <w:rPr>
          <w:rFonts w:hint="eastAsia" w:ascii="宋体" w:hAnsi="宋体" w:eastAsia="宋体" w:cs="宋体"/>
          <w:color w:val="000000"/>
          <w:sz w:val="21"/>
          <w:szCs w:val="21"/>
          <w:shd w:val="clear" w:color="auto" w:fill="FFFFFF"/>
        </w:rPr>
        <w:t>：与现行法律法规、其他相关行业标准保持协调一致，避免冲突。</w:t>
      </w:r>
    </w:p>
    <w:p w14:paraId="435C571F">
      <w:pPr>
        <w:pStyle w:val="4"/>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（二）确定标准主要内容的依据</w:t>
      </w:r>
    </w:p>
    <w:p w14:paraId="1A17A4A0">
      <w:pPr>
        <w:widowControl/>
        <w:shd w:val="clear" w:color="auto" w:fill="FFFFFF"/>
        <w:spacing w:line="360" w:lineRule="auto"/>
        <w:ind w:firstLine="420" w:firstLineChars="200"/>
        <w:jc w:val="left"/>
        <w:rPr>
          <w:rFonts w:hint="eastAsia" w:ascii="宋体" w:hAnsi="宋体" w:eastAsia="宋体" w:cs="宋体"/>
          <w:kern w:val="0"/>
          <w:sz w:val="21"/>
          <w:szCs w:val="21"/>
          <w:shd w:val="clear" w:color="auto" w:fill="FFFFFF"/>
          <w:lang w:bidi="ar"/>
        </w:rPr>
      </w:pPr>
      <w:r>
        <w:rPr>
          <w:rFonts w:hint="eastAsia" w:ascii="宋体" w:hAnsi="宋体" w:eastAsia="宋体" w:cs="宋体"/>
          <w:kern w:val="0"/>
          <w:sz w:val="21"/>
          <w:szCs w:val="21"/>
          <w:shd w:val="clear" w:color="auto" w:fill="FFFFFF"/>
          <w:lang w:bidi="ar"/>
        </w:rPr>
        <w:t>本标准的技术要求和方法经过多轮专家论证和实践验证，确保其科学性和可行性。通过案例分析、模拟实验等方式对标准中的关键技术条款进行验证，确保其在实际应用中的有效性和可靠性。</w:t>
      </w:r>
    </w:p>
    <w:p w14:paraId="4B14C911">
      <w:pPr>
        <w:pStyle w:val="3"/>
        <w:widowControl/>
        <w:shd w:val="clear" w:color="auto" w:fill="FFFFFF"/>
        <w:spacing w:beforeAutospacing="0" w:afterAutospacing="0" w:line="360" w:lineRule="auto"/>
        <w:rPr>
          <w:rFonts w:cs="宋体"/>
          <w:b w:val="0"/>
          <w:bCs w:val="0"/>
          <w:color w:val="000000"/>
          <w:sz w:val="24"/>
          <w:szCs w:val="24"/>
        </w:rPr>
      </w:pPr>
      <w:r>
        <w:rPr>
          <w:rFonts w:cs="宋体"/>
          <w:color w:val="000000"/>
          <w:sz w:val="24"/>
          <w:szCs w:val="24"/>
          <w:shd w:val="clear" w:color="auto" w:fill="FFFFFF"/>
        </w:rPr>
        <w:t>三、与现行法律法规、强制性标准和其他有关标准的关系，采用国际标准的程度及水平简要说明</w:t>
      </w:r>
    </w:p>
    <w:p w14:paraId="703AF22C">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shd w:val="clear" w:color="auto" w:fill="FFFFFF"/>
          <w:lang w:bidi="ar"/>
        </w:rPr>
        <w:t>本标准与现行法律法规、强制性标准和其他有关标准保持协调一致。本标准与《中国药典》《细胞治疗产品生产质量管理指南》、YY/T 1810-2022、YY/T 1562-2017 等保持协调一致，仅组合现有方法与共识值，不增设新强制指标。与国际标准 ISO 13019:2018、ASTM F2150-19 技术参数兼容，为未来对标转化预留接口。</w:t>
      </w:r>
    </w:p>
    <w:p w14:paraId="6348A2F5">
      <w:pPr>
        <w:pStyle w:val="3"/>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四、重大分歧意见的处理结果和依据</w:t>
      </w:r>
    </w:p>
    <w:p w14:paraId="7BE8D89C">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shd w:val="clear" w:color="auto" w:fill="FFFFFF"/>
          <w:lang w:bidi="ar"/>
        </w:rPr>
        <w:t>本标准制定过程中无重大分歧。</w:t>
      </w:r>
    </w:p>
    <w:p w14:paraId="2E25A171">
      <w:pPr>
        <w:pStyle w:val="3"/>
        <w:widowControl/>
        <w:shd w:val="clear" w:color="auto" w:fill="FFFFFF"/>
        <w:spacing w:beforeAutospacing="0" w:afterAutospacing="0" w:line="360" w:lineRule="auto"/>
        <w:rPr>
          <w:rFonts w:cs="宋体"/>
          <w:b w:val="0"/>
          <w:bCs w:val="0"/>
          <w:color w:val="000000"/>
          <w:sz w:val="24"/>
          <w:szCs w:val="24"/>
        </w:rPr>
      </w:pPr>
      <w:r>
        <w:rPr>
          <w:rFonts w:cs="宋体"/>
          <w:color w:val="000000"/>
          <w:sz w:val="24"/>
          <w:szCs w:val="24"/>
          <w:shd w:val="clear" w:color="auto" w:fill="FFFFFF"/>
        </w:rPr>
        <w:t>五、贯彻促进会标准的要求和措施建议（包括组织措施、技术措施、过渡办法等内容）</w:t>
      </w:r>
    </w:p>
    <w:p w14:paraId="14F3303A">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1.组织措施</w:t>
      </w:r>
      <w:r>
        <w:rPr>
          <w:rFonts w:hint="eastAsia" w:ascii="宋体" w:hAnsi="宋体" w:eastAsia="宋体" w:cs="宋体"/>
          <w:color w:val="000000"/>
          <w:sz w:val="21"/>
          <w:szCs w:val="21"/>
          <w:shd w:val="clear" w:color="auto" w:fill="FFFFFF"/>
        </w:rPr>
        <w:t>：标准发布后，成立专门的标准推广组织，负责协调各方资源，推动标准的实施。组织标准培训会议，邀请标准起草人对医疗机构相关人员进行培训，确保理解和掌握标准内容。</w:t>
      </w:r>
      <w:bookmarkStart w:id="0" w:name="_GoBack"/>
    </w:p>
    <w:p w14:paraId="68CE75EA">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2.技术措施</w:t>
      </w:r>
      <w:r>
        <w:rPr>
          <w:rFonts w:hint="eastAsia" w:ascii="宋体" w:hAnsi="宋体" w:eastAsia="宋体" w:cs="宋体"/>
          <w:color w:val="000000"/>
          <w:sz w:val="21"/>
          <w:szCs w:val="21"/>
          <w:shd w:val="clear" w:color="auto" w:fill="FFFFFF"/>
        </w:rPr>
        <w:t>：开发相关的技术支持工具，如“构建过程</w:t>
      </w:r>
      <w:bookmarkEnd w:id="0"/>
      <w:r>
        <w:rPr>
          <w:rFonts w:hint="eastAsia" w:ascii="宋体" w:hAnsi="宋体" w:eastAsia="宋体" w:cs="宋体"/>
          <w:color w:val="000000"/>
          <w:sz w:val="21"/>
          <w:szCs w:val="21"/>
          <w:shd w:val="clear" w:color="auto" w:fill="FFFFFF"/>
        </w:rPr>
        <w:t>记录表”与“质量判定报告”模板等，辅助参编单位按照标准开展工作。建立技术咨询平台，及时解答实施过程中的技术问题。</w:t>
      </w:r>
    </w:p>
    <w:p w14:paraId="43DA25C4">
      <w:pPr>
        <w:widowControl/>
        <w:spacing w:line="360" w:lineRule="auto"/>
        <w:ind w:firstLine="420" w:firstLineChars="200"/>
        <w:rPr>
          <w:rFonts w:hint="eastAsia" w:ascii="宋体" w:hAnsi="宋体" w:eastAsia="宋体" w:cs="宋体"/>
          <w:sz w:val="21"/>
          <w:szCs w:val="21"/>
        </w:rPr>
      </w:pPr>
      <w:r>
        <w:rPr>
          <w:rStyle w:val="9"/>
          <w:rFonts w:hint="eastAsia" w:ascii="宋体" w:hAnsi="宋体" w:eastAsia="宋体" w:cs="宋体"/>
          <w:b w:val="0"/>
          <w:color w:val="000000"/>
          <w:sz w:val="21"/>
          <w:szCs w:val="21"/>
          <w:shd w:val="clear" w:color="auto" w:fill="FFFFFF"/>
        </w:rPr>
        <w:t>3.过渡办法</w:t>
      </w:r>
      <w:r>
        <w:rPr>
          <w:rFonts w:hint="eastAsia" w:ascii="宋体" w:hAnsi="宋体" w:eastAsia="宋体" w:cs="宋体"/>
          <w:color w:val="000000"/>
          <w:sz w:val="21"/>
          <w:szCs w:val="21"/>
          <w:shd w:val="clear" w:color="auto" w:fill="FFFFFF"/>
        </w:rPr>
        <w:t>：给予参编单位一定的过渡期，在过渡期内逐步调整临床实践以符合标准要求。针对部分条件有限的单位，提供技术帮扶和指导，帮助其达到标准规定的水平。</w:t>
      </w:r>
    </w:p>
    <w:p w14:paraId="7F1B3C8F">
      <w:pPr>
        <w:pStyle w:val="3"/>
        <w:widowControl/>
        <w:shd w:val="clear" w:color="auto" w:fill="FFFFFF"/>
        <w:spacing w:beforeAutospacing="0" w:afterAutospacing="0" w:line="360" w:lineRule="auto"/>
        <w:rPr>
          <w:rFonts w:cs="宋体"/>
          <w:color w:val="000000"/>
          <w:sz w:val="24"/>
          <w:szCs w:val="24"/>
        </w:rPr>
      </w:pPr>
      <w:r>
        <w:rPr>
          <w:rFonts w:cs="宋体"/>
          <w:color w:val="000000"/>
          <w:sz w:val="24"/>
          <w:szCs w:val="24"/>
          <w:shd w:val="clear" w:color="auto" w:fill="FFFFFF"/>
        </w:rPr>
        <w:t>六、其他应予说明的事项</w:t>
      </w:r>
    </w:p>
    <w:p w14:paraId="2E25F6ED">
      <w:pPr>
        <w:widowControl/>
        <w:shd w:val="clear" w:color="auto" w:fill="FFFFFF"/>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kern w:val="0"/>
          <w:sz w:val="21"/>
          <w:szCs w:val="21"/>
          <w:shd w:val="clear" w:color="auto" w:fill="FFFFFF"/>
          <w:lang w:bidi="ar"/>
        </w:rPr>
        <w:t>本标准不涉及专利问题。后续将根据行业发展，定期对标准进行修订和完善，确保其持续满足行业需求，推动行业的不断进步。</w:t>
      </w:r>
    </w:p>
    <w:p w14:paraId="04064C47">
      <w:pPr>
        <w:rPr>
          <w:rStyle w:val="9"/>
          <w:rFonts w:ascii="Segoe UI" w:hAnsi="Segoe UI" w:eastAsia="Segoe UI" w:cs="Segoe UI"/>
          <w:bCs/>
          <w:color w:val="000000"/>
          <w:sz w:val="6"/>
          <w:szCs w:val="6"/>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28EEF9"/>
    <w:multiLevelType w:val="singleLevel"/>
    <w:tmpl w:val="6528EEF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CD198A"/>
    <w:rsid w:val="00013EA6"/>
    <w:rsid w:val="000256F4"/>
    <w:rsid w:val="000414B6"/>
    <w:rsid w:val="000A1A85"/>
    <w:rsid w:val="002175B2"/>
    <w:rsid w:val="002F4328"/>
    <w:rsid w:val="0032583B"/>
    <w:rsid w:val="00642188"/>
    <w:rsid w:val="006433EA"/>
    <w:rsid w:val="00A03B79"/>
    <w:rsid w:val="00B11C67"/>
    <w:rsid w:val="00B37198"/>
    <w:rsid w:val="00E33541"/>
    <w:rsid w:val="00EB0136"/>
    <w:rsid w:val="00ED4488"/>
    <w:rsid w:val="00F45AA9"/>
    <w:rsid w:val="00FC5128"/>
    <w:rsid w:val="0FC14BAE"/>
    <w:rsid w:val="1029421A"/>
    <w:rsid w:val="10F42D61"/>
    <w:rsid w:val="1ABF0C7A"/>
    <w:rsid w:val="59CD198A"/>
    <w:rsid w:val="68A77F59"/>
    <w:rsid w:val="6AE67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5">
    <w:name w:val="footer"/>
    <w:basedOn w:val="1"/>
    <w:link w:val="11"/>
    <w:uiPriority w:val="0"/>
    <w:pPr>
      <w:tabs>
        <w:tab w:val="center" w:pos="4153"/>
        <w:tab w:val="right" w:pos="8306"/>
      </w:tabs>
      <w:snapToGrid w:val="0"/>
      <w:jc w:val="left"/>
    </w:pPr>
    <w:rPr>
      <w:sz w:val="18"/>
      <w:szCs w:val="18"/>
    </w:rPr>
  </w:style>
  <w:style w:type="paragraph" w:styleId="6">
    <w:name w:val="header"/>
    <w:basedOn w:val="1"/>
    <w:link w:val="10"/>
    <w:uiPriority w:val="0"/>
    <w:pPr>
      <w:tabs>
        <w:tab w:val="center" w:pos="4153"/>
        <w:tab w:val="right" w:pos="8306"/>
      </w:tabs>
      <w:snapToGrid w:val="0"/>
      <w:jc w:val="center"/>
    </w:pPr>
    <w:rPr>
      <w:sz w:val="18"/>
      <w:szCs w:val="18"/>
    </w:rPr>
  </w:style>
  <w:style w:type="character" w:styleId="9">
    <w:name w:val="Strong"/>
    <w:basedOn w:val="8"/>
    <w:qFormat/>
    <w:uiPriority w:val="0"/>
    <w:rPr>
      <w:b/>
    </w:rPr>
  </w:style>
  <w:style w:type="character" w:customStyle="1" w:styleId="10">
    <w:name w:val="页眉 字符"/>
    <w:basedOn w:val="8"/>
    <w:link w:val="6"/>
    <w:uiPriority w:val="0"/>
    <w:rPr>
      <w:rFonts w:asciiTheme="minorHAnsi" w:hAnsiTheme="minorHAnsi" w:eastAsiaTheme="minorEastAsia" w:cstheme="minorBidi"/>
      <w:kern w:val="2"/>
      <w:sz w:val="18"/>
      <w:szCs w:val="18"/>
    </w:rPr>
  </w:style>
  <w:style w:type="character" w:customStyle="1" w:styleId="11">
    <w:name w:val="页脚 字符"/>
    <w:basedOn w:val="8"/>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1935</Words>
  <Characters>2019</Characters>
  <Lines>108</Lines>
  <Paragraphs>67</Paragraphs>
  <TotalTime>1</TotalTime>
  <ScaleCrop>false</ScaleCrop>
  <LinksUpToDate>false</LinksUpToDate>
  <CharactersWithSpaces>2033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2025-09-24T09:26:00Z</dcterms:created>
  <dc:creator>陈</dc:creator>
  <cp:lastModifiedBy>Amy</cp:lastModifiedBy>
  <dcterms:modified xsi:type="dcterms:W3CDTF">2025-12-02T08:11:39Z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B483C4DFC93B41F28371A48B176347CE_11</vt:lpwstr>
  </property>
  <property fmtid="{D5CDD505-2E9C-101B-9397-08002B2CF9AE}" pid="4" name="KSOTemplateDocerSaveRecord">
    <vt:lpwstr>eyJoZGlkIjoiMTUzNGMyMWMzMDdiODE1OGUzZGY4Y2FmOTI4YTAyY2EiLCJ1c2VySWQiOiI1Mzg4NzMyMzEifQ==</vt:lpwstr>
  </property>
</Properties>
</file>